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52" w:rsidRPr="00834203" w:rsidRDefault="000A0F52" w:rsidP="000A0F52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0A0F52" w:rsidTr="000A0F52">
        <w:trPr>
          <w:trHeight w:val="3457"/>
        </w:trPr>
        <w:tc>
          <w:tcPr>
            <w:tcW w:w="3511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0A0F52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0A0F52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0A0F52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0A0F52" w:rsidTr="00304B3D">
        <w:tc>
          <w:tcPr>
            <w:tcW w:w="3511" w:type="dxa"/>
          </w:tcPr>
          <w:p w:rsidR="000A0F52" w:rsidRDefault="000A0F52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A0F52" w:rsidRDefault="000A0F52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52" w:rsidRDefault="000A0F52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A0F52" w:rsidRDefault="000A0F52" w:rsidP="000A0F52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 w:rsidR="00792D08">
        <w:rPr>
          <w:rFonts w:ascii="Times New Roman" w:hAnsi="Times New Roman" w:cs="Times New Roman"/>
          <w:b/>
          <w:sz w:val="32"/>
        </w:rPr>
        <w:t>Адаптивная физкультура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для 2 класса</w:t>
      </w:r>
    </w:p>
    <w:p w:rsidR="000A0F52" w:rsidRPr="00750793" w:rsidRDefault="000A0F52" w:rsidP="000A0F52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A0F52" w:rsidRDefault="00792D08" w:rsidP="000A0F52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tbl>
      <w:tblPr>
        <w:tblW w:w="0" w:type="auto"/>
        <w:tblInd w:w="5211" w:type="dxa"/>
        <w:tblLook w:val="04A0"/>
      </w:tblPr>
      <w:tblGrid>
        <w:gridCol w:w="4360"/>
      </w:tblGrid>
      <w:tr w:rsidR="000A0F52" w:rsidRPr="004E1904" w:rsidTr="00304B3D">
        <w:tc>
          <w:tcPr>
            <w:tcW w:w="4360" w:type="dxa"/>
          </w:tcPr>
          <w:p w:rsidR="000A0F52" w:rsidRPr="004E1904" w:rsidRDefault="00792D08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="000A0F52" w:rsidRPr="004E1904">
              <w:rPr>
                <w:rFonts w:ascii="Times New Roman" w:hAnsi="Times New Roman" w:cs="Times New Roman"/>
                <w:sz w:val="28"/>
              </w:rPr>
              <w:t>: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0A0F52" w:rsidRPr="004E1904" w:rsidRDefault="000A0F52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D08" w:rsidRDefault="00792D08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A0F52" w:rsidRDefault="000A0F52" w:rsidP="000A0F52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A0F52" w:rsidRDefault="000A0F52" w:rsidP="000A0F52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92D08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для 2 класса разработана на основании нормативных документов: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A0F52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A0F52" w:rsidRPr="00F75EF8" w:rsidRDefault="000A0F52" w:rsidP="000A0F52">
      <w:pPr>
        <w:pStyle w:val="a9"/>
        <w:numPr>
          <w:ilvl w:val="0"/>
          <w:numId w:val="12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285BA6" w:rsidRDefault="00285BA6" w:rsidP="00285BA6">
      <w:pPr>
        <w:rPr>
          <w:rFonts w:ascii="Times New Roman" w:hAnsi="Times New Roman" w:cs="Times New Roman"/>
          <w:sz w:val="32"/>
        </w:rPr>
      </w:pP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7623E">
        <w:rPr>
          <w:rFonts w:ascii="Times New Roman" w:hAnsi="Times New Roman" w:cs="Times New Roman"/>
          <w:sz w:val="24"/>
          <w:szCs w:val="24"/>
        </w:rPr>
        <w:t xml:space="preserve">Характерной особенностью детей </w:t>
      </w:r>
      <w:r w:rsidRPr="00D7623E">
        <w:rPr>
          <w:rFonts w:ascii="Times New Roman" w:hAnsi="Times New Roman" w:cs="Times New Roman"/>
          <w:bCs/>
          <w:sz w:val="24"/>
          <w:szCs w:val="24"/>
        </w:rPr>
        <w:t xml:space="preserve">с умственной отсталостью (интеллектуальными нарушениями) </w:t>
      </w:r>
      <w:r w:rsidRPr="00D7623E">
        <w:rPr>
          <w:rFonts w:ascii="Times New Roman" w:hAnsi="Times New Roman" w:cs="Times New Roman"/>
          <w:sz w:val="24"/>
          <w:szCs w:val="24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D7623E">
        <w:rPr>
          <w:rFonts w:ascii="Times New Roman" w:hAnsi="Times New Roman" w:cs="Times New Roman"/>
          <w:sz w:val="24"/>
          <w:szCs w:val="24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Следует отметить, что среди учащихся </w:t>
      </w:r>
      <w:r w:rsidRPr="00D7623E">
        <w:rPr>
          <w:rFonts w:ascii="Times New Roman" w:hAnsi="Times New Roman" w:cs="Times New Roman"/>
          <w:bCs/>
          <w:sz w:val="24"/>
          <w:szCs w:val="24"/>
        </w:rPr>
        <w:t>с умственной отсталостью (интеллектуальными нарушениями)</w:t>
      </w:r>
      <w:r w:rsidRPr="00D7623E">
        <w:rPr>
          <w:rFonts w:ascii="Times New Roman" w:hAnsi="Times New Roman" w:cs="Times New Roman"/>
          <w:sz w:val="24"/>
          <w:szCs w:val="24"/>
        </w:rPr>
        <w:t>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285BA6" w:rsidRPr="00D7623E" w:rsidRDefault="00285BA6" w:rsidP="00285B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</w:r>
      <w:r w:rsidRPr="00D7623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учебного предмета «Физическая культура»: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уровняих</w:t>
      </w:r>
      <w:proofErr w:type="spellEnd"/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психофизического развития</w:t>
      </w:r>
      <w:r w:rsidRPr="00D7623E">
        <w:rPr>
          <w:rFonts w:ascii="Times New Roman" w:hAnsi="Times New Roman" w:cs="Times New Roman"/>
          <w:sz w:val="24"/>
          <w:szCs w:val="24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Программа ориентирует их на последовательное решение основных </w:t>
      </w:r>
      <w:r w:rsidRPr="00D7623E">
        <w:rPr>
          <w:rFonts w:ascii="Times New Roman" w:hAnsi="Times New Roman" w:cs="Times New Roman"/>
          <w:b/>
          <w:sz w:val="24"/>
          <w:szCs w:val="24"/>
        </w:rPr>
        <w:t>задач</w:t>
      </w:r>
      <w:r w:rsidRPr="00D7623E">
        <w:rPr>
          <w:rFonts w:ascii="Times New Roman" w:hAnsi="Times New Roman" w:cs="Times New Roman"/>
          <w:sz w:val="24"/>
          <w:szCs w:val="24"/>
        </w:rPr>
        <w:t xml:space="preserve"> физического воспитания: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>• укрепление здоровья и закаливание организма, формирование правильной осанки;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содействие военно-патриотической подготовке</w:t>
      </w:r>
    </w:p>
    <w:p w:rsidR="00285BA6" w:rsidRPr="00D7623E" w:rsidRDefault="00285BA6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23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792D08" w:rsidRPr="00A42EC9" w:rsidRDefault="00792D08" w:rsidP="00792D0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 рассчитан  на 68</w:t>
      </w:r>
      <w:r w:rsidRPr="00A42EC9">
        <w:rPr>
          <w:rFonts w:ascii="Times New Roman" w:hAnsi="Times New Roman" w:cs="Times New Roman"/>
          <w:sz w:val="24"/>
          <w:szCs w:val="24"/>
        </w:rPr>
        <w:t xml:space="preserve"> часа  в год,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42EC9">
        <w:rPr>
          <w:rFonts w:ascii="Times New Roman" w:hAnsi="Times New Roman" w:cs="Times New Roman"/>
          <w:sz w:val="24"/>
          <w:szCs w:val="24"/>
        </w:rPr>
        <w:t xml:space="preserve"> урок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42EC9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958"/>
        <w:gridCol w:w="926"/>
        <w:gridCol w:w="2069"/>
        <w:gridCol w:w="1684"/>
        <w:gridCol w:w="1900"/>
        <w:gridCol w:w="1763"/>
      </w:tblGrid>
      <w:tr w:rsidR="00792D08" w:rsidRPr="00A42EC9" w:rsidTr="00FD2F7C">
        <w:trPr>
          <w:trHeight w:val="708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Оздоровительная гимнастика 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2E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Лёгкая атлетика</w:t>
            </w:r>
          </w:p>
        </w:tc>
      </w:tr>
      <w:tr w:rsidR="00792D08" w:rsidRPr="00A42EC9" w:rsidTr="00FD2F7C">
        <w:trPr>
          <w:trHeight w:val="267"/>
        </w:trPr>
        <w:tc>
          <w:tcPr>
            <w:tcW w:w="10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Pr="00A42EC9" w:rsidRDefault="00792D08" w:rsidP="00FD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Default="00792D08" w:rsidP="00792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2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Default="00792D08" w:rsidP="00FD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17</w:t>
            </w:r>
          </w:p>
        </w:tc>
        <w:tc>
          <w:tcPr>
            <w:tcW w:w="17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Default="00792D08" w:rsidP="00792D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18</w:t>
            </w:r>
          </w:p>
        </w:tc>
        <w:tc>
          <w:tcPr>
            <w:tcW w:w="21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Default="00792D08" w:rsidP="00FD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18</w:t>
            </w:r>
          </w:p>
        </w:tc>
        <w:tc>
          <w:tcPr>
            <w:tcW w:w="20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792D08" w:rsidRDefault="00792D08" w:rsidP="00FD2F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15</w:t>
            </w:r>
          </w:p>
        </w:tc>
      </w:tr>
    </w:tbl>
    <w:p w:rsidR="00792D08" w:rsidRDefault="00792D08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D08" w:rsidRDefault="00792D08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BA6" w:rsidRPr="00141D5B" w:rsidRDefault="00285BA6" w:rsidP="00285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программного материала</w:t>
      </w:r>
    </w:p>
    <w:p w:rsidR="00D9765E" w:rsidRDefault="00D9765E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Программа предмета «</w:t>
      </w:r>
      <w:r w:rsidR="001851B0" w:rsidRPr="00141D5B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изическая культура» состоит из следующих разделов: «Гимнастика», «Лёгкая атлетика», «Подвижные и спортивные игры» </w:t>
      </w:r>
    </w:p>
    <w:p w:rsidR="00C0649D" w:rsidRPr="00141D5B" w:rsidRDefault="00C0649D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765E" w:rsidRPr="00141D5B" w:rsidRDefault="00D9765E" w:rsidP="001851B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гимнастическим, приставным шагом, выпадами, в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полуприседе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скрестным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шагом, «змейкой» со сменной темпа.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 коврику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подлезанием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Прыжки через препятствия: мягкие модули (цилиндры, бруски, кубы и др.)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овершенствование навыков прыжков на мячах –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хопах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вперёд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;в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спрыгивать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Бросание, ловля, метание.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друг другу набивной мяч (диаметром 20 см.), мячи из игры 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Бросайка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» («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Бочче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положения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Дыхательные упражнения.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перестроения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остроения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Ползание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лазание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олзание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лазанию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на гимнастической стенке с переходом с пролета на пролет по диагонали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пролётпо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диагонали.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умений учащихся проползать и пролезать под опорами, приподнятыми над полом.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Элементы спортивных игр и спортивных упражнений.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 (</w:t>
      </w:r>
      <w:r w:rsidRPr="00141D5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 упрощенным правилам)</w:t>
      </w: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sz w:val="24"/>
          <w:szCs w:val="24"/>
        </w:rPr>
        <w:t xml:space="preserve"> Обучение учащихся: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передаче мяча друг другу: двумя руками от груди, одной рукой от плеча;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перебрасыванию мяча друг другу двумя руками от груди в движении;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ловле мяча, летящего на разной высоте (от уровня груди, над головой, сбоку, внизу у пола и т.п.</w:t>
      </w:r>
      <w:proofErr w:type="gramStart"/>
      <w:r w:rsidRPr="00141D5B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141D5B">
        <w:rPr>
          <w:rFonts w:ascii="Times New Roman" w:hAnsi="Times New Roman" w:cs="Times New Roman"/>
          <w:sz w:val="24"/>
          <w:szCs w:val="24"/>
        </w:rPr>
        <w:t xml:space="preserve"> с разных сторон;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броскам мяча в корзину двумя руками из-за головы, от плеча.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упрощённым правилам)</w:t>
      </w:r>
      <w:r w:rsidRPr="00141D5B">
        <w:rPr>
          <w:rFonts w:ascii="Times New Roman" w:hAnsi="Times New Roman" w:cs="Times New Roman"/>
          <w:sz w:val="24"/>
          <w:szCs w:val="24"/>
        </w:rPr>
        <w:t>. Обучение учащихся передаче мяча друг другу, отбивание его правой и левой ногой, стоя на месте (расстояние 3 – 4 м.).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Хоккей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(на </w:t>
      </w:r>
      <w:proofErr w:type="spellStart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травес</w:t>
      </w:r>
      <w:proofErr w:type="spellEnd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 мячом)</w:t>
      </w:r>
      <w:r w:rsidRPr="00141D5B">
        <w:rPr>
          <w:rFonts w:ascii="Times New Roman" w:hAnsi="Times New Roman" w:cs="Times New Roman"/>
          <w:sz w:val="24"/>
          <w:szCs w:val="24"/>
        </w:rP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>Игра 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Бросайка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>» («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Бочче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»)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упрощенным правилам).</w:t>
      </w:r>
      <w:r w:rsidRPr="00141D5B">
        <w:rPr>
          <w:rFonts w:ascii="Times New Roman" w:hAnsi="Times New Roman" w:cs="Times New Roman"/>
          <w:sz w:val="24"/>
          <w:szCs w:val="24"/>
        </w:rP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</w:t>
      </w:r>
      <w:r w:rsidRPr="00141D5B">
        <w:rPr>
          <w:rFonts w:ascii="Times New Roman" w:hAnsi="Times New Roman" w:cs="Times New Roman"/>
          <w:sz w:val="24"/>
          <w:szCs w:val="24"/>
        </w:rPr>
        <w:lastRenderedPageBreak/>
        <w:t xml:space="preserve">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Бадминтон. </w:t>
      </w:r>
      <w:r w:rsidRPr="00141D5B">
        <w:rPr>
          <w:rFonts w:ascii="Times New Roman" w:hAnsi="Times New Roman" w:cs="Times New Roman"/>
          <w:sz w:val="24"/>
          <w:szCs w:val="24"/>
        </w:rP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D9765E" w:rsidRPr="00141D5B" w:rsidRDefault="00D9765E" w:rsidP="00D976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Требования к </w:t>
      </w:r>
      <w:r w:rsidRPr="00141D5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занятиям и умениям </w:t>
      </w:r>
      <w:proofErr w:type="gramStart"/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обучающихся</w:t>
      </w:r>
      <w:proofErr w:type="gramEnd"/>
      <w:r w:rsidR="00D762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2</w:t>
      </w: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класса.</w:t>
      </w:r>
    </w:p>
    <w:p w:rsidR="00D9765E" w:rsidRPr="00141D5B" w:rsidRDefault="00D9765E" w:rsidP="00D9765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Минимальный уровень: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ходьба в различном темпе с различными исходными положениями;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Достаточный уровень: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самостоятельное выполнение комплексов утренней гимнастики;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подача и выполнение строевых команд, ведение подсчёта при выполнении общеразвивающих упражнений.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совместное участие со сверстниками в подвижных играх и эстафетах;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спортивных традиций своего народа и других народов;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pStyle w:val="4"/>
        <w:tabs>
          <w:tab w:val="num" w:pos="0"/>
          <w:tab w:val="left" w:pos="5560"/>
        </w:tabs>
        <w:spacing w:after="200"/>
        <w:rPr>
          <w:sz w:val="24"/>
          <w:u w:val="single"/>
        </w:rPr>
      </w:pPr>
      <w:r w:rsidRPr="00141D5B">
        <w:rPr>
          <w:sz w:val="24"/>
          <w:u w:val="single"/>
        </w:rPr>
        <w:lastRenderedPageBreak/>
        <w:t xml:space="preserve">Критерии и нормы оценки знаний обучающихся </w:t>
      </w:r>
      <w:r w:rsidR="00D7623E">
        <w:rPr>
          <w:sz w:val="24"/>
          <w:u w:val="single"/>
        </w:rPr>
        <w:t>2</w:t>
      </w:r>
      <w:r w:rsidRPr="00141D5B">
        <w:rPr>
          <w:sz w:val="24"/>
          <w:u w:val="single"/>
        </w:rPr>
        <w:t xml:space="preserve"> класса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обучающемуся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обучающегося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D9765E" w:rsidRPr="00141D5B" w:rsidRDefault="00D9765E" w:rsidP="00D6486E">
      <w:pPr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При реализации данной программы используется форма </w:t>
      </w:r>
      <w:r w:rsidRPr="00141D5B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контроля </w:t>
      </w: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– </w:t>
      </w:r>
      <w:proofErr w:type="spell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индивидуальная</w:t>
      </w:r>
      <w:proofErr w:type="gram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.К</w:t>
      </w:r>
      <w:proofErr w:type="gram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онтроль</w:t>
      </w:r>
      <w:proofErr w:type="spell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(диагностика) проводится в начале учебного года (вводный контроль) и итоговый (в конце учебного года).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b/>
          <w:sz w:val="24"/>
          <w:szCs w:val="28"/>
        </w:rPr>
        <w:t>Описание учебно-методического и материально-технического обеспечения.</w:t>
      </w:r>
    </w:p>
    <w:p w:rsidR="00D6486E" w:rsidRPr="00D6486E" w:rsidRDefault="00D6486E" w:rsidP="00D6486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>Материально-техническое оснащение учебного предмета предусматривает: как обычное для спортивных залов школ оборудование и инвентарь, так и специальное адаптированное (</w:t>
      </w:r>
      <w:proofErr w:type="spellStart"/>
      <w:r w:rsidRPr="00D6486E">
        <w:rPr>
          <w:rFonts w:ascii="Times New Roman" w:hAnsi="Times New Roman" w:cs="Times New Roman"/>
          <w:sz w:val="24"/>
          <w:szCs w:val="28"/>
        </w:rPr>
        <w:t>ассистивное</w:t>
      </w:r>
      <w:proofErr w:type="spellEnd"/>
      <w:r w:rsidRPr="00D6486E">
        <w:rPr>
          <w:rFonts w:ascii="Times New Roman" w:hAnsi="Times New Roman" w:cs="Times New Roman"/>
          <w:sz w:val="24"/>
          <w:szCs w:val="28"/>
        </w:rPr>
        <w:t xml:space="preserve">) оборудование, для детей с различными нарушениями развития. Включая тренажеры, специальные велосипеды (с ортопедическими средствами), инвентарь для подвижных и спортивных игр и др. </w:t>
      </w:r>
    </w:p>
    <w:p w:rsidR="00D6486E" w:rsidRPr="00D6486E" w:rsidRDefault="00D6486E" w:rsidP="00D6486E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 xml:space="preserve">Материально-техническое оснащение включает: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/>
          <w:b/>
          <w:bCs/>
          <w:sz w:val="24"/>
          <w:szCs w:val="26"/>
          <w:u w:val="single"/>
        </w:rPr>
        <w:t>Информационно- методическое обеспечение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 xml:space="preserve">Физическая культура. </w:t>
      </w:r>
      <w:r w:rsidR="00D7623E">
        <w:rPr>
          <w:rFonts w:ascii="Times New Roman" w:hAnsi="Times New Roman" w:cs="Times New Roman"/>
          <w:sz w:val="24"/>
        </w:rPr>
        <w:t>2</w:t>
      </w:r>
      <w:r w:rsidRPr="00D6486E">
        <w:rPr>
          <w:rFonts w:ascii="Times New Roman" w:hAnsi="Times New Roman" w:cs="Times New Roman"/>
          <w:sz w:val="24"/>
        </w:rPr>
        <w:t xml:space="preserve"> класс: Пособие для учителя (поурочные планы). Е. Н. Литвинов. Москва, Айрис – пресс, 2004г.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Черевков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Фабрика детской книги, 1955г.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36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Болонов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ТЦ Сфера, 2003г.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7623E" w:rsidRPr="00D7623E" w:rsidRDefault="00D7623E" w:rsidP="00D7623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7623E" w:rsidRPr="00D7623E" w:rsidRDefault="00D7623E" w:rsidP="0030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D7623E" w:rsidRPr="00D7623E" w:rsidRDefault="00D7623E" w:rsidP="00D7623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0A0F52"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для 2 «</w:t>
      </w:r>
      <w:r w:rsidR="00792D08">
        <w:rPr>
          <w:rFonts w:ascii="Times New Roman" w:hAnsi="Times New Roman" w:cs="Times New Roman"/>
          <w:b/>
          <w:sz w:val="36"/>
          <w:szCs w:val="36"/>
        </w:rPr>
        <w:t>Г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D7623E" w:rsidRPr="00D7623E" w:rsidTr="00304B3D">
        <w:trPr>
          <w:jc w:val="right"/>
        </w:trPr>
        <w:tc>
          <w:tcPr>
            <w:tcW w:w="4785" w:type="dxa"/>
          </w:tcPr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D7623E" w:rsidRPr="00D7623E" w:rsidRDefault="00D7623E" w:rsidP="00304B3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382E" w:rsidRPr="00D7623E" w:rsidRDefault="0067382E" w:rsidP="00D7623E"/>
    <w:p w:rsidR="0067382E" w:rsidRPr="00D7623E" w:rsidRDefault="0067382E" w:rsidP="00D7623E"/>
    <w:p w:rsidR="00285BA6" w:rsidRDefault="00285BA6" w:rsidP="00D7623E"/>
    <w:p w:rsidR="00D7623E" w:rsidRDefault="00D7623E" w:rsidP="00D7623E"/>
    <w:p w:rsidR="00D7623E" w:rsidRDefault="00D7623E" w:rsidP="00D7623E"/>
    <w:p w:rsidR="00D7623E" w:rsidRPr="00D7623E" w:rsidRDefault="00D7623E" w:rsidP="00D7623E"/>
    <w:p w:rsidR="00D7623E" w:rsidRDefault="00D7623E" w:rsidP="00D7623E"/>
    <w:tbl>
      <w:tblPr>
        <w:tblStyle w:val="a7"/>
        <w:tblW w:w="9923" w:type="dxa"/>
        <w:tblInd w:w="-601" w:type="dxa"/>
        <w:tblLook w:val="04A0"/>
      </w:tblPr>
      <w:tblGrid>
        <w:gridCol w:w="567"/>
        <w:gridCol w:w="2566"/>
        <w:gridCol w:w="847"/>
        <w:gridCol w:w="756"/>
        <w:gridCol w:w="3630"/>
        <w:gridCol w:w="1557"/>
      </w:tblGrid>
      <w:tr w:rsidR="00792D08" w:rsidTr="00FD2F7C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F04E52" w:rsidP="00FD2F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F90">
              <w:rPr>
                <w:rFonts w:ascii="Times New Roman" w:eastAsia="Times New Roman" w:hAnsi="Times New Roman" w:cs="Times New Roman"/>
                <w:b/>
                <w:bCs/>
                <w:color w:val="2F2F2F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  <w:bookmarkStart w:id="1" w:name="_GoBack"/>
            <w:bookmarkEnd w:id="1"/>
            <w:r w:rsidR="00792D0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792D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792D08" w:rsidTr="00FD2F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безопасности. Упражнения для коррекции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 с упражнениями для коррекции движений кисти и мелкой моторики пальцев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и развитие мелкой моторики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навык выполнения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для мелкой моторики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мышечного корсета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Обучить упражнениям,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кррегирующим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нарушения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плоскостопи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плоскостопия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Обучить упражнениям для профилактики и коррекции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опорнодвиательного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выполнению корригирующих упражнений для нарушения осанки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умение выполнять 11 упражнения для коррекции и профилактика нарушений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Наклоны головой.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упражнения.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Обучения комплекса упражнения с малым мячом для профилактики миопии.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различным предметам, передвижение боком.</w:t>
            </w:r>
          </w:p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Игры: «Зоопарк», «Собери шишки».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ребристых досках, гимнастических палках, ортопедических ковриках.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выполнять действия по образцу по подражанию.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и передача предметов.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4070C"/>
                <w:sz w:val="24"/>
                <w:szCs w:val="24"/>
              </w:rPr>
              <w:t>Выполнять упражнения по образцу, по команде.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и линиям.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- ровным шагом, в колонне, по кругу, взявшись за руки, на носках, в медленном и быстром темпе</w:t>
            </w:r>
          </w:p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Ходьба по линии, на носках.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FD2F7C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Дыхательные упражнения с предметами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и сформировать навык правильного дыхания, используя гимнастическую палочку.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Дыхательные упражнения с предметами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навык выполнения дыхательных упражнений с использованием гимнастической палочки.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равновесия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навык выполнения упражнений для правильной осанки в различных положениях тела. Укрепить вестибулярный аппарат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координации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комплексу упражнений для развития функций координации и вестибулярного аппарата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с массажными мячами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упражнения с массажными мячами. Развить тактильную чувствительность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на сохранение правильной осанки: «Море волнуется», «Совушка».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Приседания с предметами и без.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упражнений на приседания с различными предметами.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мышц спины, брюшного пресса.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команды по показу,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 по гимнастической скамье, стенке, выполняют по показу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2D08" w:rsidTr="00792D08">
        <w:trPr>
          <w:trHeight w:val="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предметами на голове (мешочек с песком, кубик и т. д) стоя у стены, в движении, под музыку.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комплекса упражнений с гимнастическими палками.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для увеличения гибкости и подвижности позвоночника.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 по образцу.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с малыми мячами разного диаметра.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положения и движения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основные двигательные навыки, научить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выполнять двигательные действия.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FD2F7C">
        <w:trPr>
          <w:trHeight w:val="61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</w:p>
        </w:tc>
      </w:tr>
      <w:tr w:rsidR="00792D08" w:rsidTr="00792D08">
        <w:trPr>
          <w:trHeight w:val="6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Захват предметов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умение захватывать предметы и удерживать их.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Бросок и ловля большого мяча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броскам и ловле большого мяча, развивать точность и меткость движения.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 с упражнениями, имитирующими передвижения животных.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Обучить различным способам преодоления препятствия – гимнастической скамейки.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Эстафеты с ходьбой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навык метания в горизонтальную цель с расстояния 2- 3 метра.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в горизонтальную цель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переброса и приема мяча в парах. Отработка элементов игрового взаимодействия.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скамье.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умений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лазанья по гимнастической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стенке.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по залу с изменением направления, с обходом кеглей и т.д.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ровным шагом, ходьба на носках. Ходьба по кругу, взявшись за руки.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Ходьба в медленном и быстром темпе. Ходьба по линии и с изменением направления по команде учителя.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Строевые упражнения (право, лево, направо, налево, впереди, сзади, рядом).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«Волшебный мешочек».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 двигательно-моторной координации.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Захват предметов. Передача предметов.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Лазанье по гимнастической скамье, стенке.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Слушают правила выполнения упражнений, делают упражнения  под руководством учителя.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«Вот так позы».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 произвольного внимания, мышления, совершенствование равновесия.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5080F"/>
                <w:sz w:val="24"/>
                <w:szCs w:val="24"/>
              </w:rPr>
              <w:t>Подвижная игра «Кошка и мышки»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FD2F7C"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Переноска предметов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навыка захвата, удержания и переноски спортивного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инвентарая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Имитационные упражнения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упражнениий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имитирующиие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передвижения животных.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Прыжок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прыжка в глубину (спрыгивания с высоты до 50 см)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 с продвижением ноги. Прыжок в длину.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знаний о правилах техники выполнения двигательных действий.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боком через гимнастическую скамейку.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ind w:left="7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в глубину с высоты 30-50 см.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Перекладывание мячей из одной руки в другую. Подбрасывание мяча перед собой и ловля его.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развитие общей  моторики, координации движений.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«Так можно, так нельзя», «Фигуры»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Совершенствование физических качеств: ловкости, силы, быстроты, выносливости.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Размыкания, смыкания. Выполнение команд «Равняйсь!», «Смирно!», «Вольно!», «Становись!».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действий, использование их в игровой деятельности.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простейших упражнений  для развития  и формирования правильной осанки.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Элементы движений с музыкальным сопровождением в различном темпе.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Выполнение  двигательных действий с музыкальным сопровождением в различном темпе.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Метание мяча из-за головы с места и на дальность.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правильного выполнения</w:t>
            </w:r>
          </w:p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имитационных упражнений.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гимнастической стенке, по наклонной гимнастической скамье.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Расширение диапазона движений и проведение  профилактики возможных нарушений.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«Слушай сигнал», «Светофор».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игры «Ручеек», «Точно в цель», «Так можно, так нельзя».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к другому.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 на расслабление.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 на расслабление.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D08" w:rsidTr="00792D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8" w:rsidRDefault="00792D08" w:rsidP="00FD2F7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8" w:rsidRDefault="00792D08" w:rsidP="00FD2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2D08" w:rsidRPr="00D7623E" w:rsidRDefault="00792D08" w:rsidP="00D7623E"/>
    <w:sectPr w:rsidR="00792D08" w:rsidRPr="00D7623E" w:rsidSect="003B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61E1"/>
    <w:multiLevelType w:val="multilevel"/>
    <w:tmpl w:val="5D6E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3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50D84"/>
    <w:rsid w:val="0000126A"/>
    <w:rsid w:val="00010435"/>
    <w:rsid w:val="00045662"/>
    <w:rsid w:val="00065D72"/>
    <w:rsid w:val="00073FD4"/>
    <w:rsid w:val="000967A3"/>
    <w:rsid w:val="000A0F52"/>
    <w:rsid w:val="000E6CB4"/>
    <w:rsid w:val="001279B3"/>
    <w:rsid w:val="00141D5B"/>
    <w:rsid w:val="001851B0"/>
    <w:rsid w:val="001A27B1"/>
    <w:rsid w:val="001C1A85"/>
    <w:rsid w:val="00231777"/>
    <w:rsid w:val="00231DD4"/>
    <w:rsid w:val="0026724A"/>
    <w:rsid w:val="00285BA6"/>
    <w:rsid w:val="003263C5"/>
    <w:rsid w:val="0032778C"/>
    <w:rsid w:val="00352B0E"/>
    <w:rsid w:val="003A035D"/>
    <w:rsid w:val="003B047F"/>
    <w:rsid w:val="003B77E8"/>
    <w:rsid w:val="003E4203"/>
    <w:rsid w:val="003F0B0B"/>
    <w:rsid w:val="00450D84"/>
    <w:rsid w:val="00461680"/>
    <w:rsid w:val="00475543"/>
    <w:rsid w:val="004B1B21"/>
    <w:rsid w:val="00505DCB"/>
    <w:rsid w:val="00521051"/>
    <w:rsid w:val="005840C0"/>
    <w:rsid w:val="005B13D1"/>
    <w:rsid w:val="005E0747"/>
    <w:rsid w:val="005E1F49"/>
    <w:rsid w:val="006237E2"/>
    <w:rsid w:val="00627E62"/>
    <w:rsid w:val="00635E7C"/>
    <w:rsid w:val="006514ED"/>
    <w:rsid w:val="0067382E"/>
    <w:rsid w:val="00686294"/>
    <w:rsid w:val="006B3CC7"/>
    <w:rsid w:val="006B665E"/>
    <w:rsid w:val="006E5C80"/>
    <w:rsid w:val="0072475C"/>
    <w:rsid w:val="00727704"/>
    <w:rsid w:val="00787D8E"/>
    <w:rsid w:val="00792D08"/>
    <w:rsid w:val="007B17FD"/>
    <w:rsid w:val="007D0126"/>
    <w:rsid w:val="007E5403"/>
    <w:rsid w:val="008370B2"/>
    <w:rsid w:val="00871736"/>
    <w:rsid w:val="00876014"/>
    <w:rsid w:val="008A133D"/>
    <w:rsid w:val="008A3F70"/>
    <w:rsid w:val="008D7140"/>
    <w:rsid w:val="009255EE"/>
    <w:rsid w:val="00984DB6"/>
    <w:rsid w:val="009B676B"/>
    <w:rsid w:val="009C5B00"/>
    <w:rsid w:val="009C777C"/>
    <w:rsid w:val="009C78E4"/>
    <w:rsid w:val="00A03EAB"/>
    <w:rsid w:val="00A15530"/>
    <w:rsid w:val="00A343B2"/>
    <w:rsid w:val="00A378A9"/>
    <w:rsid w:val="00A45187"/>
    <w:rsid w:val="00A77947"/>
    <w:rsid w:val="00AA4E2B"/>
    <w:rsid w:val="00AB24EE"/>
    <w:rsid w:val="00AD6757"/>
    <w:rsid w:val="00B30422"/>
    <w:rsid w:val="00BB19F8"/>
    <w:rsid w:val="00C0649D"/>
    <w:rsid w:val="00C068E0"/>
    <w:rsid w:val="00C71A16"/>
    <w:rsid w:val="00CA06C7"/>
    <w:rsid w:val="00CC6EC4"/>
    <w:rsid w:val="00CE21F6"/>
    <w:rsid w:val="00D55B5A"/>
    <w:rsid w:val="00D6486E"/>
    <w:rsid w:val="00D7623E"/>
    <w:rsid w:val="00D934FD"/>
    <w:rsid w:val="00D9765E"/>
    <w:rsid w:val="00E425BE"/>
    <w:rsid w:val="00E57605"/>
    <w:rsid w:val="00E61752"/>
    <w:rsid w:val="00EC6714"/>
    <w:rsid w:val="00F04E52"/>
    <w:rsid w:val="00F1706B"/>
    <w:rsid w:val="00F30504"/>
    <w:rsid w:val="00F40BD0"/>
    <w:rsid w:val="00F459D7"/>
    <w:rsid w:val="00F6095D"/>
    <w:rsid w:val="00F72423"/>
    <w:rsid w:val="00F9510D"/>
    <w:rsid w:val="00FA2946"/>
    <w:rsid w:val="00FB2513"/>
    <w:rsid w:val="00FB7507"/>
    <w:rsid w:val="00FC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No Spacing"/>
    <w:uiPriority w:val="1"/>
    <w:qFormat/>
    <w:rsid w:val="005E1F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255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semiHidden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13</Pages>
  <Words>3945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83</cp:revision>
  <cp:lastPrinted>2023-10-09T14:23:00Z</cp:lastPrinted>
  <dcterms:created xsi:type="dcterms:W3CDTF">2023-10-05T08:40:00Z</dcterms:created>
  <dcterms:modified xsi:type="dcterms:W3CDTF">2025-09-29T07:01:00Z</dcterms:modified>
</cp:coreProperties>
</file>